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4.3.3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Bandwidth of internet connection in the Institution and the number of students on campus: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Options: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color w:val="0000ff"/>
          <w:sz w:val="24"/>
          <w:szCs w:val="24"/>
          <w:rtl w:val="0"/>
        </w:rPr>
        <w:t xml:space="preserve">≥50 Mbps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35 Mbps - 50 Mbps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20 Mbps - 35 Mbps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                 Choose any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5 Mbps   - 20 Mbps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&lt;5 Mbps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Details of bandwidth available in the Institution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any additional information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     Note: Data template is not applicable to this metric.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upperLetter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