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14"/>
          <w:szCs w:val="14"/>
        </w:rPr>
      </w:pPr>
      <w:r w:rsidDel="00000000" w:rsidR="00000000" w:rsidRPr="00000000">
        <w:rPr>
          <w:rtl w:val="0"/>
        </w:rPr>
      </w:r>
    </w:p>
    <w:tbl>
      <w:tblPr>
        <w:tblStyle w:val="Table1"/>
        <w:tblW w:w="9484.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8505"/>
        <w:tblGridChange w:id="0">
          <w:tblGrid>
            <w:gridCol w:w="979"/>
            <w:gridCol w:w="8505"/>
          </w:tblGrid>
        </w:tblGridChange>
      </w:tblGrid>
      <w:tr>
        <w:trPr>
          <w:cantSplit w:val="0"/>
          <w:tblHeader w:val="0"/>
        </w:trPr>
        <w:tc>
          <w:tcPr/>
          <w:p w:rsidR="00000000" w:rsidDel="00000000" w:rsidP="00000000" w:rsidRDefault="00000000" w:rsidRPr="00000000" w14:paraId="00000002">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vAlign w:val="top"/>
          </w:tcPr>
          <w:p w:rsidR="00000000" w:rsidDel="00000000" w:rsidP="00000000" w:rsidRDefault="00000000" w:rsidRPr="00000000" w14:paraId="00000003">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- 6.1 Institutional Vision and Leadership</w:t>
            </w:r>
            <w:r w:rsidDel="00000000" w:rsidR="00000000" w:rsidRPr="00000000">
              <w:rPr>
                <w:rtl w:val="0"/>
              </w:rPr>
            </w:r>
          </w:p>
        </w:tc>
      </w:tr>
      <w:tr>
        <w:trPr>
          <w:cantSplit w:val="0"/>
          <w:trHeight w:val="1603" w:hRule="atLeast"/>
          <w:tblHeader w:val="0"/>
        </w:trPr>
        <w:tc>
          <w:tcPr>
            <w:vAlign w:val="top"/>
          </w:tcPr>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6.1.1</w:t>
            </w: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governance of the institution is reflective of an effective leadership in tune with the vision and mission of the Institution:</w:t>
            </w: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vision and mission of the institution with regard to governance, perspective plans and participation of the teachers in the decision-making bodies of the institution (within a maximum of 200 words). </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mission statement of the college is ‘ Tamso Ma Jyotirgamaya ‘ so keeping in mind the  vision and mission of the college the perspective plan of the institution the perspective plan of the institution has been prepared by the college management. After getting autonomous status college has got the academic freedom , which is necessary to work effectively on different aspects of the mission to accomplish the vision. Being autonomous the decisions are taken either at the level of Governing council or Academic Council as per their jurisdiction. Adequate representation is given to the teachers in both the council and their opinions are sought for the process of decision making. The final authority that wets the decision is Chairman in case of Governing Council and Principal in Academic Council. The arrangements to communicate decisions to the students and staff is done through notice board, printed handouts, college prospectus, and the college website. Keeping in mind vision of the institution, college has successfully accomplished:</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Inculcating learner centric and effective teaching learning process.</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Transparency and credibility in the process of students’ evaluation;</w:t>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comprehensive system of student mentoring and student support;</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4.Launching value added and skills development programmes improving the employability of students in accordance with NEP-2020.</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5.Motivating students for self-employment and to enable them to emerge as entrepreneurs through teaching, training and internship.</w:t>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http://kvpendharkarcollege.org/AboutUs_Pages/vision_mission.aspx</w:t>
              </w:r>
            </w:hyperlink>
            <w:r w:rsidDel="00000000" w:rsidR="00000000" w:rsidRPr="00000000">
              <w:rPr>
                <w:rtl w:val="0"/>
              </w:rPr>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ind w:left="72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8">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vpendharkarcollege.org/AboutUs_Pages/vision_miss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